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F1" w:rsidRPr="00200CC0" w:rsidRDefault="00022D6A" w:rsidP="008760F1">
      <w:pPr>
        <w:pStyle w:val="Standard"/>
        <w:jc w:val="center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4991AEA" wp14:editId="60AA65B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0F1" w:rsidRPr="00200CC0" w:rsidRDefault="008760F1" w:rsidP="008760F1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200CC0">
        <w:rPr>
          <w:rFonts w:ascii="Times New Roman" w:hAnsi="Times New Roman"/>
          <w:b/>
          <w:sz w:val="28"/>
          <w:szCs w:val="28"/>
        </w:rPr>
        <w:t xml:space="preserve">МИНИСТЕРСТВО </w:t>
      </w:r>
      <w:r w:rsidR="009B6081">
        <w:rPr>
          <w:rFonts w:ascii="Times New Roman" w:hAnsi="Times New Roman"/>
          <w:b/>
          <w:sz w:val="28"/>
          <w:szCs w:val="28"/>
        </w:rPr>
        <w:t>НАУКИ</w:t>
      </w:r>
      <w:r w:rsidRPr="00200CC0">
        <w:rPr>
          <w:rFonts w:ascii="Times New Roman" w:hAnsi="Times New Roman"/>
          <w:b/>
          <w:sz w:val="28"/>
          <w:szCs w:val="28"/>
        </w:rPr>
        <w:t xml:space="preserve"> И </w:t>
      </w:r>
      <w:r w:rsidR="009B6081">
        <w:rPr>
          <w:rFonts w:ascii="Times New Roman" w:hAnsi="Times New Roman"/>
          <w:b/>
          <w:sz w:val="28"/>
          <w:szCs w:val="28"/>
        </w:rPr>
        <w:t>ВЫСШЕГО ОБРАЗОВАНИЯ</w:t>
      </w:r>
      <w:r w:rsidRPr="00200CC0">
        <w:rPr>
          <w:rFonts w:ascii="Times New Roman" w:hAnsi="Times New Roman"/>
          <w:b/>
          <w:sz w:val="28"/>
          <w:szCs w:val="28"/>
        </w:rPr>
        <w:t xml:space="preserve"> РОССИЙСКОЙ ФЕДЕРАЦИИ</w:t>
      </w:r>
    </w:p>
    <w:p w:rsidR="008760F1" w:rsidRPr="00200CC0" w:rsidRDefault="008760F1" w:rsidP="008760F1">
      <w:pPr>
        <w:pStyle w:val="Standard"/>
        <w:jc w:val="center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760F1" w:rsidRPr="00200CC0" w:rsidRDefault="008760F1" w:rsidP="008760F1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200CC0">
        <w:rPr>
          <w:rFonts w:ascii="Times New Roman" w:hAnsi="Times New Roman"/>
          <w:b/>
          <w:sz w:val="28"/>
          <w:szCs w:val="28"/>
        </w:rPr>
        <w:t>«Донской государственный технический университет»</w:t>
      </w: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Кафедра «Теория и практика физической культуры и спорта»</w:t>
      </w:r>
    </w:p>
    <w:p w:rsidR="008760F1" w:rsidRPr="00200CC0" w:rsidRDefault="008760F1" w:rsidP="008760F1">
      <w:pPr>
        <w:pStyle w:val="Standard"/>
        <w:shd w:val="clear" w:color="auto" w:fill="FFFFFF"/>
        <w:ind w:left="-360" w:firstLine="540"/>
        <w:jc w:val="center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rPr>
          <w:rFonts w:ascii="Times New Roman" w:hAnsi="Times New Roman"/>
          <w:iCs/>
          <w:sz w:val="28"/>
          <w:szCs w:val="28"/>
        </w:rPr>
      </w:pPr>
    </w:p>
    <w:p w:rsidR="008760F1" w:rsidRDefault="008760F1" w:rsidP="008760F1">
      <w:pPr>
        <w:pStyle w:val="Standard"/>
        <w:ind w:left="-360" w:firstLine="540"/>
        <w:rPr>
          <w:rFonts w:ascii="Times New Roman" w:hAnsi="Times New Roman"/>
          <w:sz w:val="28"/>
          <w:szCs w:val="28"/>
        </w:rPr>
      </w:pPr>
    </w:p>
    <w:p w:rsidR="00084FDA" w:rsidRPr="00200CC0" w:rsidRDefault="00084FDA" w:rsidP="008760F1">
      <w:pPr>
        <w:pStyle w:val="Standard"/>
        <w:ind w:left="-360" w:firstLine="540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</w:p>
    <w:p w:rsidR="00381575" w:rsidRPr="00381575" w:rsidRDefault="00381575" w:rsidP="00381575">
      <w:pPr>
        <w:widowControl/>
        <w:spacing w:after="0" w:line="240" w:lineRule="auto"/>
        <w:ind w:firstLine="540"/>
        <w:jc w:val="center"/>
        <w:rPr>
          <w:rFonts w:eastAsia="Calibri" w:cs="Times New Roman"/>
          <w:b/>
          <w:sz w:val="28"/>
          <w:szCs w:val="28"/>
        </w:rPr>
      </w:pPr>
      <w:r w:rsidRPr="00381575">
        <w:rPr>
          <w:rFonts w:eastAsia="Calibri" w:cs="Times New Roman"/>
          <w:b/>
          <w:sz w:val="28"/>
          <w:szCs w:val="28"/>
        </w:rPr>
        <w:t>Методические указания и задания</w:t>
      </w:r>
    </w:p>
    <w:p w:rsidR="008760F1" w:rsidRDefault="00381575" w:rsidP="00381575">
      <w:pPr>
        <w:pStyle w:val="Standard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81575">
        <w:rPr>
          <w:rFonts w:ascii="Times New Roman" w:hAnsi="Times New Roman"/>
          <w:b/>
          <w:sz w:val="28"/>
          <w:szCs w:val="28"/>
        </w:rPr>
        <w:t>для выполнения рефератов (контрольных работ) по курсу</w:t>
      </w:r>
    </w:p>
    <w:p w:rsidR="00381575" w:rsidRPr="00200CC0" w:rsidRDefault="00381575" w:rsidP="00381575">
      <w:pPr>
        <w:pStyle w:val="Standard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760F1" w:rsidRPr="00200CC0" w:rsidRDefault="008760F1" w:rsidP="008760F1">
      <w:pPr>
        <w:pStyle w:val="Standard"/>
        <w:jc w:val="center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b/>
          <w:sz w:val="28"/>
          <w:szCs w:val="28"/>
        </w:rPr>
        <w:t xml:space="preserve"> </w:t>
      </w:r>
      <w:r w:rsidRPr="00200C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6741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Антидопинговый контроль</w:t>
      </w:r>
      <w:r w:rsidRPr="00200C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8760F1" w:rsidRPr="00200CC0" w:rsidRDefault="008760F1" w:rsidP="008760F1">
      <w:pPr>
        <w:pStyle w:val="2"/>
        <w:spacing w:after="0" w:line="240" w:lineRule="auto"/>
        <w:rPr>
          <w:rFonts w:cs="Times New Roman"/>
          <w:b w:val="0"/>
          <w:sz w:val="28"/>
        </w:rPr>
      </w:pPr>
    </w:p>
    <w:p w:rsidR="008760F1" w:rsidRPr="00200CC0" w:rsidRDefault="008760F1" w:rsidP="008760F1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</w:p>
    <w:p w:rsidR="008760F1" w:rsidRPr="00200CC0" w:rsidRDefault="008760F1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Ростов-на-Дону</w:t>
      </w:r>
    </w:p>
    <w:p w:rsidR="008760F1" w:rsidRPr="00200CC0" w:rsidRDefault="00C611C0" w:rsidP="008760F1">
      <w:pPr>
        <w:pStyle w:val="Standard"/>
        <w:ind w:left="-360"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</w:p>
    <w:p w:rsidR="008760F1" w:rsidRPr="00200CC0" w:rsidRDefault="008760F1" w:rsidP="008760F1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8760F1" w:rsidRPr="00084FDA" w:rsidRDefault="008760F1" w:rsidP="00084FDA">
      <w:pPr>
        <w:pStyle w:val="Standard"/>
        <w:spacing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084FDA">
        <w:rPr>
          <w:rFonts w:ascii="Times New Roman" w:hAnsi="Times New Roman"/>
          <w:b/>
          <w:iCs/>
          <w:sz w:val="28"/>
          <w:szCs w:val="28"/>
        </w:rPr>
        <w:t>Методические указания содержат требования к оформлению и перечень тем рефератов (контрольных работ).</w:t>
      </w:r>
    </w:p>
    <w:p w:rsidR="008760F1" w:rsidRPr="00200CC0" w:rsidRDefault="008760F1" w:rsidP="00084FDA">
      <w:pPr>
        <w:pStyle w:val="Standard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При выполнении контрольной работы студент должен соблюдать следующие требования: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Контрольные работы высылаются в Университет в сроки, указанные в учебном графике.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В Университет высылаются только полностью выполненные контрольные работы с соблюдением очередности, установленной учебным графиком. Например, контрольную работу №2 необходимо направлять на проверку только после работы №1.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Ответы на вопросы или решения задач должны располагаться в той же последовательности, в какой они даны в контрольном задании. Перед ответом на каждый вопрос или решением задачи следует записать сам вопрос и условие задачи.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Ответы на контрольные вопросы следует излагать ясно, точно и полно, чтобы преподавателю был виден ход рассуждений.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Решение задач надо представлять вместе со всеми промежуточными преобразованиями. Руководствоваться необходимо образцами задач, помещенными в учебниках или методических указаниях.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Оформить контрольную работу можно на персональном компьютере с использованием текстовых и графических редакторов и представить в распечатанном виде.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Контрольная работа может быть представлена в рукописном виде. В этом случае она должна быть написана четко, обязательно чернилами, без перечеркиваний, вставок, произвольного сокращения слов. Чертежи выполнять обязательно с помощью чертежных принадлежностей или с использованием графических редакторов.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lastRenderedPageBreak/>
        <w:t>На каждой странице контрольной работы оставлять поля шириной 4-5 см для замечаний преподавателя. Все страницы должны быть пронумерованы.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На обложке контрольной работы необходимо расположить адресную наклейку, в которой указать фамилию и инициалы, шифр, специальность, курс, наименование дисциплины, номер контрольного задания и домашний адрес.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Готовая контрольная работа высылается в Университет (указывается полный почтовый адрес ДГТУ) или передается в деканат факультета лично. После проверки контрольная работа возвращается студенту. Проверенная контрольная работа защищается студентом и сдается преподавателю в</w:t>
      </w:r>
      <w:r w:rsidR="00084FDA">
        <w:rPr>
          <w:rFonts w:ascii="Times New Roman" w:hAnsi="Times New Roman"/>
          <w:sz w:val="28"/>
          <w:szCs w:val="28"/>
        </w:rPr>
        <w:t>о время сдачи экзамена (зачета).</w:t>
      </w:r>
    </w:p>
    <w:p w:rsid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По всем возникшим при изучении дисциплины вопросам следует обратиться за пояснением к преподавателю устно в часы консультаций.</w:t>
      </w:r>
    </w:p>
    <w:p w:rsidR="00084FDA" w:rsidRP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iCs/>
          <w:sz w:val="28"/>
          <w:szCs w:val="28"/>
        </w:rPr>
        <w:t>Вариант контрольной работы выбирается из приведенной таблицы. Объем контрольной работы, должен составлять не менее 20 печатных страниц, шрифт Times New Roman, размер 14, интервал 1,5. Поля: верхнее, нижнее – 2,5; левое - 3,5; правое - 1,5.</w:t>
      </w:r>
    </w:p>
    <w:p w:rsidR="00084FDA" w:rsidRP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iCs/>
          <w:sz w:val="28"/>
          <w:szCs w:val="28"/>
        </w:rPr>
        <w:t xml:space="preserve">Образец титульного листа </w:t>
      </w:r>
      <w:r w:rsidR="00084FDA">
        <w:rPr>
          <w:rFonts w:ascii="Times New Roman" w:hAnsi="Times New Roman"/>
          <w:iCs/>
          <w:sz w:val="28"/>
          <w:szCs w:val="28"/>
        </w:rPr>
        <w:t>прилагается (адресная наклейка)</w:t>
      </w:r>
    </w:p>
    <w:p w:rsidR="00084FDA" w:rsidRP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iCs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8760F1" w:rsidRPr="00084FDA" w:rsidRDefault="008760F1" w:rsidP="00084FDA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FDA">
        <w:rPr>
          <w:rFonts w:ascii="Times New Roman" w:hAnsi="Times New Roman"/>
          <w:sz w:val="28"/>
          <w:szCs w:val="28"/>
        </w:rPr>
        <w:t>Структура контрольной работы:</w:t>
      </w:r>
    </w:p>
    <w:p w:rsidR="008760F1" w:rsidRPr="00200CC0" w:rsidRDefault="008760F1" w:rsidP="00084FDA">
      <w:pPr>
        <w:pStyle w:val="Standard"/>
        <w:tabs>
          <w:tab w:val="left" w:pos="1708"/>
        </w:tabs>
        <w:spacing w:after="0" w:line="36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студента, учебной группы. Год. </w:t>
      </w:r>
      <w:r w:rsidRPr="00200CC0">
        <w:rPr>
          <w:rFonts w:ascii="Times New Roman" w:hAnsi="Times New Roman"/>
          <w:iCs/>
          <w:sz w:val="28"/>
          <w:szCs w:val="28"/>
        </w:rPr>
        <w:t>(Адресная наклейка).</w:t>
      </w:r>
    </w:p>
    <w:p w:rsidR="008760F1" w:rsidRPr="00200CC0" w:rsidRDefault="008760F1" w:rsidP="00084FDA">
      <w:pPr>
        <w:pStyle w:val="Standard"/>
        <w:tabs>
          <w:tab w:val="left" w:pos="1708"/>
        </w:tabs>
        <w:spacing w:after="0" w:line="36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2. Содержание.</w:t>
      </w:r>
    </w:p>
    <w:p w:rsidR="008760F1" w:rsidRPr="00200CC0" w:rsidRDefault="008760F1" w:rsidP="00084FDA">
      <w:pPr>
        <w:pStyle w:val="Standard"/>
        <w:tabs>
          <w:tab w:val="left" w:pos="1708"/>
        </w:tabs>
        <w:spacing w:after="0" w:line="36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3. Введение.</w:t>
      </w:r>
    </w:p>
    <w:p w:rsidR="008760F1" w:rsidRPr="00200CC0" w:rsidRDefault="008760F1" w:rsidP="00084FDA">
      <w:pPr>
        <w:pStyle w:val="Standard"/>
        <w:tabs>
          <w:tab w:val="left" w:pos="1708"/>
        </w:tabs>
        <w:spacing w:after="0" w:line="36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200CC0">
        <w:rPr>
          <w:rFonts w:ascii="Times New Roman" w:hAnsi="Times New Roman"/>
          <w:iCs/>
          <w:sz w:val="28"/>
          <w:szCs w:val="28"/>
        </w:rPr>
        <w:t>1; 2; 3</w:t>
      </w:r>
      <w:r w:rsidRPr="00200CC0">
        <w:rPr>
          <w:rFonts w:ascii="Times New Roman" w:hAnsi="Times New Roman"/>
          <w:sz w:val="28"/>
          <w:szCs w:val="28"/>
        </w:rPr>
        <w:t>)</w:t>
      </w:r>
    </w:p>
    <w:p w:rsidR="008760F1" w:rsidRPr="00200CC0" w:rsidRDefault="008760F1" w:rsidP="00084FDA">
      <w:pPr>
        <w:pStyle w:val="Standard"/>
        <w:tabs>
          <w:tab w:val="left" w:pos="1708"/>
        </w:tabs>
        <w:spacing w:after="0" w:line="36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t>5. Выводы.</w:t>
      </w:r>
    </w:p>
    <w:p w:rsidR="008760F1" w:rsidRPr="00200CC0" w:rsidRDefault="008760F1" w:rsidP="00084FDA">
      <w:pPr>
        <w:pStyle w:val="Standard"/>
        <w:tabs>
          <w:tab w:val="left" w:pos="1708"/>
        </w:tabs>
        <w:spacing w:line="36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200CC0">
        <w:rPr>
          <w:rFonts w:ascii="Times New Roman" w:hAnsi="Times New Roman"/>
          <w:sz w:val="28"/>
          <w:szCs w:val="28"/>
        </w:rPr>
        <w:lastRenderedPageBreak/>
        <w:t>6.Список литературы и других информационных ресурсов.</w:t>
      </w:r>
    </w:p>
    <w:p w:rsidR="009B6081" w:rsidRDefault="009B6081" w:rsidP="009B6081">
      <w:pPr>
        <w:widowControl/>
        <w:suppressAutoHyphens w:val="0"/>
        <w:autoSpaceDN/>
        <w:spacing w:after="0" w:line="300" w:lineRule="exact"/>
        <w:contextualSpacing/>
        <w:rPr>
          <w:rFonts w:eastAsia="Calibri" w:cs="Times New Roman"/>
          <w:sz w:val="28"/>
          <w:szCs w:val="28"/>
        </w:rPr>
      </w:pPr>
    </w:p>
    <w:p w:rsidR="009B6081" w:rsidRDefault="009B6081" w:rsidP="009B6081">
      <w:pPr>
        <w:widowControl/>
        <w:suppressAutoHyphens w:val="0"/>
        <w:autoSpaceDN/>
        <w:spacing w:after="0" w:line="300" w:lineRule="exact"/>
        <w:contextualSpacing/>
        <w:rPr>
          <w:rFonts w:eastAsia="Calibri" w:cs="Times New Roman"/>
          <w:sz w:val="28"/>
          <w:szCs w:val="28"/>
        </w:rPr>
      </w:pPr>
    </w:p>
    <w:p w:rsidR="009B6081" w:rsidRPr="009B6081" w:rsidRDefault="009B6081" w:rsidP="009B6081">
      <w:pPr>
        <w:widowControl/>
        <w:suppressAutoHyphens w:val="0"/>
        <w:autoSpaceDN/>
        <w:spacing w:after="0" w:line="300" w:lineRule="exact"/>
        <w:contextualSpacing/>
        <w:rPr>
          <w:rFonts w:eastAsia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Таблица 1 </w:t>
      </w:r>
      <w:r w:rsidRPr="009B6081">
        <w:rPr>
          <w:rFonts w:eastAsia="Times New Roman" w:cs="Times New Roman"/>
          <w:b/>
          <w:bCs/>
          <w:color w:val="000000"/>
          <w:kern w:val="0"/>
          <w:sz w:val="28"/>
          <w:szCs w:val="28"/>
          <w:lang w:eastAsia="ru-RU"/>
        </w:rPr>
        <w:t>Варианты выбора тем на контрольную работу</w:t>
      </w:r>
    </w:p>
    <w:tbl>
      <w:tblPr>
        <w:tblpPr w:leftFromText="180" w:rightFromText="180" w:vertAnchor="text" w:horzAnchor="page" w:tblpXSpec="center" w:tblpY="186"/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60"/>
        <w:gridCol w:w="759"/>
        <w:gridCol w:w="761"/>
        <w:gridCol w:w="760"/>
        <w:gridCol w:w="761"/>
        <w:gridCol w:w="760"/>
        <w:gridCol w:w="760"/>
        <w:gridCol w:w="761"/>
        <w:gridCol w:w="760"/>
        <w:gridCol w:w="761"/>
      </w:tblGrid>
      <w:tr w:rsidR="009B6081" w:rsidRPr="009B6081" w:rsidTr="004E3058">
        <w:tc>
          <w:tcPr>
            <w:tcW w:w="1839" w:type="dxa"/>
            <w:vMerge w:val="restart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rPr>
                <w:rFonts w:eastAsiaTheme="minorHAnsi" w:cstheme="minorBidi"/>
                <w:b/>
                <w:i/>
                <w:kern w:val="0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Cs w:val="24"/>
              </w:rPr>
              <w:t>Предпоследняя цифра зачетной книжки</w:t>
            </w:r>
          </w:p>
        </w:tc>
        <w:tc>
          <w:tcPr>
            <w:tcW w:w="7603" w:type="dxa"/>
            <w:gridSpan w:val="10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Cs w:val="24"/>
              </w:rPr>
              <w:t>Последняя цифра зачетной книжки</w:t>
            </w:r>
          </w:p>
        </w:tc>
      </w:tr>
      <w:tr w:rsidR="009B6081" w:rsidRPr="009B6081" w:rsidTr="004E3058">
        <w:trPr>
          <w:trHeight w:val="320"/>
        </w:trPr>
        <w:tc>
          <w:tcPr>
            <w:tcW w:w="1839" w:type="dxa"/>
            <w:vMerge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rPr>
                <w:rFonts w:eastAsiaTheme="minorHAnsi" w:cstheme="minorBidi"/>
                <w:b/>
                <w:i/>
                <w:kern w:val="0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0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1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6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8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9</w:t>
            </w:r>
          </w:p>
        </w:tc>
      </w:tr>
      <w:tr w:rsidR="009B6081" w:rsidRPr="009B6081" w:rsidTr="004E3058">
        <w:tc>
          <w:tcPr>
            <w:tcW w:w="1839" w:type="dxa"/>
            <w:vMerge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rPr>
                <w:rFonts w:eastAsiaTheme="minorHAnsi" w:cstheme="minorBidi"/>
                <w:b/>
                <w:i/>
                <w:kern w:val="0"/>
                <w:szCs w:val="24"/>
              </w:rPr>
            </w:pPr>
          </w:p>
        </w:tc>
        <w:tc>
          <w:tcPr>
            <w:tcW w:w="7603" w:type="dxa"/>
            <w:gridSpan w:val="10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contextualSpacing/>
              <w:jc w:val="center"/>
              <w:rPr>
                <w:rFonts w:eastAsiaTheme="minorHAnsi" w:cstheme="minorBidi"/>
                <w:b/>
                <w:kern w:val="0"/>
                <w:szCs w:val="24"/>
              </w:rPr>
            </w:pPr>
            <w:r w:rsidRPr="009B6081">
              <w:rPr>
                <w:rFonts w:eastAsiaTheme="minorHAnsi" w:cstheme="minorBidi"/>
                <w:b/>
                <w:kern w:val="0"/>
                <w:szCs w:val="24"/>
              </w:rPr>
              <w:t>Н о м е р а   в о п р о с о в</w:t>
            </w:r>
          </w:p>
        </w:tc>
      </w:tr>
      <w:tr w:rsidR="009B6081" w:rsidRPr="009B6081" w:rsidTr="004E3058">
        <w:trPr>
          <w:trHeight w:val="219"/>
        </w:trPr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0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</w:tr>
      <w:tr w:rsidR="009B6081" w:rsidRPr="009B6081" w:rsidTr="004E3058"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15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19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 xml:space="preserve">    20</w:t>
            </w:r>
          </w:p>
        </w:tc>
      </w:tr>
      <w:tr w:rsidR="009B6081" w:rsidRPr="009B6081" w:rsidTr="004E3058"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21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2</w:t>
            </w:r>
            <w:r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</w:tr>
      <w:tr w:rsidR="009B6081" w:rsidRPr="009B6081" w:rsidTr="004E3058"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3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13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15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17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 xml:space="preserve">    </w:t>
            </w:r>
            <w:r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</w:tr>
      <w:tr w:rsidR="009B6081" w:rsidRPr="009B6081" w:rsidTr="004E3058"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</w:t>
            </w:r>
            <w:r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2</w:t>
            </w:r>
            <w:r>
              <w:rPr>
                <w:rFonts w:eastAsiaTheme="minorHAnsi" w:cstheme="minorBidi"/>
                <w:kern w:val="0"/>
                <w:szCs w:val="24"/>
              </w:rPr>
              <w:t>0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21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22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</w:tr>
      <w:tr w:rsidR="009B6081" w:rsidRPr="009B6081" w:rsidTr="004E3058"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</w:t>
            </w:r>
            <w:r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</w:t>
            </w:r>
            <w:r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</w:t>
            </w:r>
            <w:r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</w:t>
            </w:r>
            <w:r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 xml:space="preserve">    </w:t>
            </w:r>
            <w:r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</w:tr>
      <w:tr w:rsidR="009B6081" w:rsidRPr="009B6081" w:rsidTr="004E3058"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6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</w:t>
            </w:r>
            <w:r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19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20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21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22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</w:tr>
      <w:tr w:rsidR="009B6081" w:rsidRPr="009B6081" w:rsidTr="004E3058"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13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 xml:space="preserve">    </w:t>
            </w:r>
            <w:r>
              <w:rPr>
                <w:rFonts w:eastAsiaTheme="minorHAnsi" w:cstheme="minorBidi"/>
                <w:kern w:val="0"/>
                <w:szCs w:val="24"/>
              </w:rPr>
              <w:t>14</w:t>
            </w:r>
          </w:p>
        </w:tc>
      </w:tr>
      <w:tr w:rsidR="009B6081" w:rsidRPr="009B6081" w:rsidTr="004E3058"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1</w:t>
            </w:r>
            <w:r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16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17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18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19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20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21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22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2</w:t>
            </w:r>
          </w:p>
        </w:tc>
      </w:tr>
      <w:tr w:rsidR="009B6081" w:rsidRPr="009B6081" w:rsidTr="004E3058">
        <w:trPr>
          <w:trHeight w:val="179"/>
        </w:trPr>
        <w:tc>
          <w:tcPr>
            <w:tcW w:w="183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40" w:lineRule="exact"/>
              <w:contextualSpacing/>
              <w:jc w:val="center"/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</w:pPr>
            <w:r w:rsidRPr="009B6081">
              <w:rPr>
                <w:rFonts w:eastAsiaTheme="minorHAnsi" w:cstheme="minorBidi"/>
                <w:b/>
                <w:i/>
                <w:kern w:val="0"/>
                <w:sz w:val="28"/>
                <w:szCs w:val="24"/>
              </w:rPr>
              <w:t>9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3</w:t>
            </w:r>
          </w:p>
        </w:tc>
        <w:tc>
          <w:tcPr>
            <w:tcW w:w="759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4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5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6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>9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10</w:t>
            </w:r>
          </w:p>
        </w:tc>
        <w:tc>
          <w:tcPr>
            <w:tcW w:w="760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jc w:val="center"/>
              <w:rPr>
                <w:rFonts w:eastAsiaTheme="minorHAnsi" w:cstheme="minorBidi"/>
                <w:kern w:val="0"/>
                <w:szCs w:val="24"/>
              </w:rPr>
            </w:pPr>
            <w:r>
              <w:rPr>
                <w:rFonts w:eastAsiaTheme="minorHAnsi" w:cstheme="minorBidi"/>
                <w:kern w:val="0"/>
                <w:szCs w:val="24"/>
              </w:rPr>
              <w:t>11</w:t>
            </w:r>
          </w:p>
        </w:tc>
        <w:tc>
          <w:tcPr>
            <w:tcW w:w="761" w:type="dxa"/>
            <w:vAlign w:val="center"/>
          </w:tcPr>
          <w:p w:rsidR="009B6081" w:rsidRPr="009B6081" w:rsidRDefault="009B6081" w:rsidP="009B6081">
            <w:pPr>
              <w:widowControl/>
              <w:suppressAutoHyphens w:val="0"/>
              <w:autoSpaceDN/>
              <w:spacing w:after="160" w:line="259" w:lineRule="auto"/>
              <w:ind w:right="-108"/>
              <w:contextualSpacing/>
              <w:rPr>
                <w:rFonts w:eastAsiaTheme="minorHAnsi" w:cstheme="minorBidi"/>
                <w:kern w:val="0"/>
                <w:szCs w:val="24"/>
              </w:rPr>
            </w:pPr>
            <w:r w:rsidRPr="009B6081">
              <w:rPr>
                <w:rFonts w:eastAsiaTheme="minorHAnsi" w:cstheme="minorBidi"/>
                <w:kern w:val="0"/>
                <w:szCs w:val="24"/>
              </w:rPr>
              <w:t xml:space="preserve">    </w:t>
            </w:r>
            <w:r>
              <w:rPr>
                <w:rFonts w:eastAsiaTheme="minorHAnsi" w:cstheme="minorBidi"/>
                <w:kern w:val="0"/>
                <w:szCs w:val="24"/>
              </w:rPr>
              <w:t>12</w:t>
            </w:r>
          </w:p>
        </w:tc>
      </w:tr>
    </w:tbl>
    <w:p w:rsidR="008760F1" w:rsidRPr="00200CC0" w:rsidRDefault="008760F1" w:rsidP="008760F1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60F1" w:rsidRDefault="008760F1" w:rsidP="008760F1">
      <w:pPr>
        <w:pStyle w:val="Standard"/>
        <w:shd w:val="clear" w:color="auto" w:fill="FFFFFF"/>
        <w:spacing w:after="0" w:line="240" w:lineRule="auto"/>
        <w:ind w:left="568"/>
        <w:jc w:val="right"/>
        <w:rPr>
          <w:rFonts w:ascii="Times New Roman" w:hAnsi="Times New Roman"/>
          <w:sz w:val="28"/>
          <w:szCs w:val="28"/>
        </w:rPr>
      </w:pPr>
    </w:p>
    <w:p w:rsidR="009B6081" w:rsidRPr="00200CC0" w:rsidRDefault="009B6081" w:rsidP="008760F1">
      <w:pPr>
        <w:pStyle w:val="Standard"/>
        <w:shd w:val="clear" w:color="auto" w:fill="FFFFFF"/>
        <w:spacing w:after="0" w:line="240" w:lineRule="auto"/>
        <w:ind w:left="568"/>
        <w:jc w:val="right"/>
        <w:rPr>
          <w:rFonts w:ascii="Times New Roman" w:hAnsi="Times New Roman"/>
          <w:sz w:val="28"/>
          <w:szCs w:val="28"/>
        </w:rPr>
      </w:pPr>
    </w:p>
    <w:p w:rsidR="00C611C0" w:rsidRPr="009B6081" w:rsidRDefault="008760F1" w:rsidP="009B6081">
      <w:pPr>
        <w:pStyle w:val="Standard"/>
        <w:spacing w:after="0" w:line="360" w:lineRule="auto"/>
        <w:jc w:val="center"/>
        <w:rPr>
          <w:rFonts w:ascii="Times New Roman" w:hAnsi="Times New Roman"/>
          <w:kern w:val="0"/>
          <w:sz w:val="28"/>
          <w:szCs w:val="28"/>
          <w:lang w:eastAsia="ru-RU"/>
        </w:rPr>
      </w:pPr>
      <w:r w:rsidRPr="00200CC0">
        <w:rPr>
          <w:rFonts w:ascii="Times New Roman" w:hAnsi="Times New Roman"/>
          <w:b/>
          <w:color w:val="000000"/>
          <w:sz w:val="28"/>
          <w:szCs w:val="28"/>
        </w:rPr>
        <w:t>Тематика контрольн</w:t>
      </w:r>
      <w:r w:rsidR="00200CC0" w:rsidRPr="00200CC0">
        <w:rPr>
          <w:rFonts w:ascii="Times New Roman" w:hAnsi="Times New Roman"/>
          <w:b/>
          <w:color w:val="000000"/>
          <w:sz w:val="28"/>
          <w:szCs w:val="28"/>
        </w:rPr>
        <w:t>ых</w:t>
      </w:r>
      <w:r w:rsidRPr="00200CC0">
        <w:rPr>
          <w:rFonts w:ascii="Times New Roman" w:hAnsi="Times New Roman"/>
          <w:b/>
          <w:color w:val="000000"/>
          <w:sz w:val="28"/>
          <w:szCs w:val="28"/>
        </w:rPr>
        <w:t xml:space="preserve"> работ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1.Основополагающий документ, в котором объединены антидопинговые методики, правила и нормы для спортивных организаций и органов государственной власти. Раскрыть его сущность.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2.Использование или попытка использования спортсменом запрещенной субстанции или запрещенного метода. Наличие запрещенной субстанции или ее метаболитов, или маркеров в пробе, взятой у спортсмена.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3.Помощь, поощрение, способствование, подстрекательство, вступление в сговор, сокрытие или другой вид соучастия, в результате которого происходит нарушение антидопинговых правил, попытка нарушения антидопинговых правил или нарушение статьи 10.12.1 другим лицом. 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4.Первые попытки борьбы с допингом. 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5.ВАДА. ее полномочия, сфера ответственности ВАДА.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lastRenderedPageBreak/>
        <w:t>6.Компетенция МОК, международных федераций, НОК и САС МОК, международные федерации и НОК.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7.Субстанции и методы, запрещенные всегда для спортсменов.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8.Субстанции и методы, запрещенные в предсоревновательный и соревновательный период.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9.Копенгагенская декларация и Конвенция ЮНЕСКО.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10.Последствия применения допинга.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11.Последствия допинга для спортивной карьеры.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12. Профилактика применения допинга.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13. Характеристика фармакологических препаратов и средств, применяемых в спортивной практике. 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14. Фармакологическое обеспечение в подготовке спортсмена к соревнованиям.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15. Фармакологическое обеспечение в подготовке спортсмена к соревнованиям.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16. Международные стандарты для списка запрещенных средств и методов.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17. Санкции к спортсменам в индивидуальных видах спорта.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18. Международные антидопинговые правила и процедурные правила допинг-контроля.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19. Социальные и психологические аспекты допинга.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>20. Допинг как проблема современного общества.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t xml:space="preserve">21. Проблема злоупотребления "допинговыми препаратами" вне рамок спорта. </w:t>
      </w:r>
    </w:p>
    <w:p w:rsidR="00C611C0" w:rsidRPr="00C611C0" w:rsidRDefault="00C611C0" w:rsidP="009B6081">
      <w:pPr>
        <w:widowControl/>
        <w:suppressAutoHyphens w:val="0"/>
        <w:autoSpaceDN/>
        <w:spacing w:after="160" w:line="360" w:lineRule="auto"/>
        <w:rPr>
          <w:rFonts w:eastAsia="Calibri" w:cs="Times New Roman"/>
          <w:kern w:val="0"/>
          <w:sz w:val="28"/>
        </w:rPr>
      </w:pPr>
      <w:r w:rsidRPr="00C611C0">
        <w:rPr>
          <w:rFonts w:eastAsia="Calibri" w:cs="Times New Roman"/>
          <w:kern w:val="0"/>
          <w:sz w:val="28"/>
        </w:rPr>
        <w:lastRenderedPageBreak/>
        <w:t>22. Допинг в спорте и проблемы фармакологического обеспечения подготовки спортсменов.</w:t>
      </w:r>
    </w:p>
    <w:p w:rsidR="00C6234B" w:rsidRPr="00200CC0" w:rsidRDefault="00381575" w:rsidP="009B6081">
      <w:pPr>
        <w:pStyle w:val="Standard"/>
        <w:spacing w:line="360" w:lineRule="auto"/>
        <w:rPr>
          <w:sz w:val="28"/>
          <w:szCs w:val="28"/>
        </w:rPr>
      </w:pPr>
    </w:p>
    <w:sectPr w:rsidR="00C6234B" w:rsidRPr="00200CC0" w:rsidSect="00084FDA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00E8"/>
    <w:multiLevelType w:val="multilevel"/>
    <w:tmpl w:val="F4F89432"/>
    <w:styleLink w:val="WWNum1"/>
    <w:lvl w:ilvl="0">
      <w:start w:val="1"/>
      <w:numFmt w:val="decimal"/>
      <w:lvlText w:val="%1."/>
      <w:lvlJc w:val="left"/>
      <w:pPr>
        <w:ind w:left="228" w:firstLine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5ADC63E9"/>
    <w:multiLevelType w:val="multilevel"/>
    <w:tmpl w:val="38324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83"/>
    <w:rsid w:val="00022D6A"/>
    <w:rsid w:val="00084FDA"/>
    <w:rsid w:val="00200CC0"/>
    <w:rsid w:val="00381575"/>
    <w:rsid w:val="0065143C"/>
    <w:rsid w:val="006566B5"/>
    <w:rsid w:val="00674130"/>
    <w:rsid w:val="00765A24"/>
    <w:rsid w:val="008760F1"/>
    <w:rsid w:val="009B6081"/>
    <w:rsid w:val="00B30383"/>
    <w:rsid w:val="00C611C0"/>
    <w:rsid w:val="00D161AB"/>
    <w:rsid w:val="00D7676F"/>
    <w:rsid w:val="00E6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4543"/>
  <w15:chartTrackingRefBased/>
  <w15:docId w15:val="{822F21A1-6DED-44C6-9B15-607B9DB4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0F1"/>
    <w:pPr>
      <w:widowControl w:val="0"/>
      <w:suppressAutoHyphens/>
      <w:autoSpaceDN w:val="0"/>
      <w:spacing w:after="200" w:line="276" w:lineRule="auto"/>
    </w:pPr>
    <w:rPr>
      <w:rFonts w:ascii="Times New Roman" w:eastAsia="SimSun" w:hAnsi="Times New Roman" w:cs="Tahoma"/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760F1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2">
    <w:name w:val="Основной текст (2)"/>
    <w:basedOn w:val="Standard"/>
    <w:rsid w:val="008760F1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Calibri"/>
      <w:b/>
      <w:bCs/>
      <w:sz w:val="24"/>
      <w:szCs w:val="28"/>
    </w:rPr>
  </w:style>
  <w:style w:type="paragraph" w:customStyle="1" w:styleId="1">
    <w:name w:val="Обычный1"/>
    <w:rsid w:val="008760F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0">
    <w:name w:val="Заголовок1"/>
    <w:basedOn w:val="Standard"/>
    <w:next w:val="a3"/>
    <w:rsid w:val="008760F1"/>
    <w:pPr>
      <w:spacing w:after="0" w:line="240" w:lineRule="auto"/>
    </w:pPr>
    <w:rPr>
      <w:rFonts w:ascii="Cambria" w:hAnsi="Cambria"/>
      <w:b/>
      <w:bCs/>
      <w:spacing w:val="-10"/>
      <w:sz w:val="56"/>
      <w:szCs w:val="56"/>
    </w:rPr>
  </w:style>
  <w:style w:type="numbering" w:customStyle="1" w:styleId="WWNum1">
    <w:name w:val="WWNum1"/>
    <w:rsid w:val="008760F1"/>
    <w:pPr>
      <w:numPr>
        <w:numId w:val="1"/>
      </w:numPr>
    </w:pPr>
  </w:style>
  <w:style w:type="paragraph" w:styleId="a3">
    <w:name w:val="Subtitle"/>
    <w:basedOn w:val="a"/>
    <w:next w:val="a"/>
    <w:link w:val="a4"/>
    <w:uiPriority w:val="11"/>
    <w:qFormat/>
    <w:rsid w:val="008760F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4">
    <w:name w:val="Подзаголовок Знак"/>
    <w:basedOn w:val="a0"/>
    <w:link w:val="a3"/>
    <w:uiPriority w:val="11"/>
    <w:rsid w:val="008760F1"/>
    <w:rPr>
      <w:rFonts w:eastAsiaTheme="minorEastAsia"/>
      <w:color w:val="5A5A5A" w:themeColor="text1" w:themeTint="A5"/>
      <w:spacing w:val="15"/>
      <w:kern w:val="3"/>
    </w:rPr>
  </w:style>
  <w:style w:type="paragraph" w:styleId="a5">
    <w:name w:val="Normal (Web)"/>
    <w:basedOn w:val="a"/>
    <w:uiPriority w:val="99"/>
    <w:semiHidden/>
    <w:unhideWhenUsed/>
    <w:rsid w:val="00200CC0"/>
    <w:pPr>
      <w:widowControl/>
      <w:suppressAutoHyphens w:val="0"/>
      <w:autoSpaceDN/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B96D0-B4D2-411C-8F7B-17F0E7E7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Фоменко Виктория Дмитриевна</cp:lastModifiedBy>
  <cp:revision>15</cp:revision>
  <dcterms:created xsi:type="dcterms:W3CDTF">2020-09-22T10:28:00Z</dcterms:created>
  <dcterms:modified xsi:type="dcterms:W3CDTF">2021-12-16T08:55:00Z</dcterms:modified>
</cp:coreProperties>
</file>